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F8" w:rsidRDefault="00B013F8" w:rsidP="00B013F8">
      <w:pPr>
        <w:spacing w:after="0" w:line="391" w:lineRule="auto"/>
        <w:ind w:right="14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uk-UA"/>
        </w:rPr>
      </w:pPr>
      <w:r w:rsidRPr="00E14A45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uk-UA"/>
        </w:rPr>
        <w:t>ЗАЯВКА НА УЧАСТЬ</w:t>
      </w:r>
    </w:p>
    <w:p w:rsidR="00B013F8" w:rsidRPr="00D52946" w:rsidRDefault="00B013F8" w:rsidP="00B013F8">
      <w:pPr>
        <w:spacing w:after="0" w:line="360" w:lineRule="auto"/>
        <w:ind w:right="11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</w:pPr>
      <w:r w:rsidRPr="00D529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Pr="00D834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</w:t>
      </w:r>
      <w:r w:rsidRPr="00D834F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D529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міжнародної</w:t>
      </w:r>
      <w:r w:rsidRPr="00D529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29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науково-технічної </w:t>
      </w:r>
      <w:r w:rsidRPr="00D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946">
        <w:rPr>
          <w:rFonts w:ascii="Times New Roman" w:eastAsia="Times New Roman" w:hAnsi="Times New Roman" w:cs="Times New Roman"/>
          <w:sz w:val="28"/>
          <w:szCs w:val="28"/>
          <w:lang w:val="uk-UA"/>
        </w:rPr>
        <w:t>конференції</w:t>
      </w:r>
    </w:p>
    <w:p w:rsidR="00B013F8" w:rsidRPr="00D52946" w:rsidRDefault="00B013F8" w:rsidP="00B013F8">
      <w:pPr>
        <w:spacing w:after="19" w:line="360" w:lineRule="auto"/>
        <w:ind w:right="11" w:hanging="11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5294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«СУДНОВА ЕЛЕКТРОІНЖЕНЕРІЯ, ЕЛЕКТРОНІКА І АВТОМАТИКА»</w:t>
      </w:r>
    </w:p>
    <w:p w:rsidR="00B013F8" w:rsidRDefault="00B013F8" w:rsidP="00B013F8">
      <w:pPr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529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D529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листопада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D529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</w:t>
      </w:r>
    </w:p>
    <w:tbl>
      <w:tblPr>
        <w:tblStyle w:val="a3"/>
        <w:tblW w:w="5301" w:type="pct"/>
        <w:tblInd w:w="-147" w:type="dxa"/>
        <w:tblLook w:val="04A0" w:firstRow="1" w:lastRow="0" w:firstColumn="1" w:lastColumn="0" w:noHBand="0" w:noVBand="1"/>
      </w:tblPr>
      <w:tblGrid>
        <w:gridCol w:w="3403"/>
        <w:gridCol w:w="1276"/>
        <w:gridCol w:w="5529"/>
      </w:tblGrid>
      <w:tr w:rsidR="00B013F8" w:rsidRPr="00612565" w:rsidTr="00D34412">
        <w:tc>
          <w:tcPr>
            <w:tcW w:w="1667" w:type="pct"/>
          </w:tcPr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П.І.Б. автора статті (повністю) </w:t>
            </w:r>
          </w:p>
        </w:tc>
        <w:tc>
          <w:tcPr>
            <w:tcW w:w="3333" w:type="pct"/>
            <w:gridSpan w:val="2"/>
          </w:tcPr>
          <w:p w:rsidR="00B013F8" w:rsidRPr="009E4157" w:rsidRDefault="00B013F8" w:rsidP="00D344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B013F8" w:rsidRPr="00612565" w:rsidTr="00D34412">
        <w:tc>
          <w:tcPr>
            <w:tcW w:w="1667" w:type="pct"/>
          </w:tcPr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Місце навчання/роботи </w:t>
            </w:r>
          </w:p>
        </w:tc>
        <w:tc>
          <w:tcPr>
            <w:tcW w:w="3333" w:type="pct"/>
            <w:gridSpan w:val="2"/>
          </w:tcPr>
          <w:p w:rsidR="00B013F8" w:rsidRPr="009E4157" w:rsidRDefault="00B013F8" w:rsidP="00D344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B013F8" w:rsidRPr="00612565" w:rsidTr="00D34412">
        <w:tc>
          <w:tcPr>
            <w:tcW w:w="1667" w:type="pct"/>
          </w:tcPr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Посада, вчений ступінь, вчене звання </w:t>
            </w:r>
          </w:p>
        </w:tc>
        <w:tc>
          <w:tcPr>
            <w:tcW w:w="3333" w:type="pct"/>
            <w:gridSpan w:val="2"/>
          </w:tcPr>
          <w:p w:rsidR="00B013F8" w:rsidRPr="009E4157" w:rsidRDefault="00B013F8" w:rsidP="00D344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B013F8" w:rsidRPr="00612565" w:rsidTr="00D34412">
        <w:tc>
          <w:tcPr>
            <w:tcW w:w="1667" w:type="pct"/>
          </w:tcPr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Контактний  </w:t>
            </w:r>
            <w:r w:rsidRPr="009E4157">
              <w:rPr>
                <w:rFonts w:ascii="Times New Roman" w:hAnsi="Times New Roman" w:cs="Times New Roman"/>
                <w:b/>
                <w:lang w:val="uk-UA"/>
              </w:rPr>
              <w:t>e-</w:t>
            </w:r>
            <w:proofErr w:type="spellStart"/>
            <w:r w:rsidRPr="009E4157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9E415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9E4157">
              <w:rPr>
                <w:rFonts w:ascii="Times New Roman" w:hAnsi="Times New Roman" w:cs="Times New Roman"/>
                <w:b/>
                <w:lang w:val="uk-UA"/>
              </w:rPr>
              <w:t>для листування</w:t>
            </w:r>
          </w:p>
        </w:tc>
        <w:tc>
          <w:tcPr>
            <w:tcW w:w="3333" w:type="pct"/>
            <w:gridSpan w:val="2"/>
          </w:tcPr>
          <w:p w:rsidR="00B013F8" w:rsidRPr="009E4157" w:rsidRDefault="00B013F8" w:rsidP="00D344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B013F8" w:rsidRPr="00612565" w:rsidTr="00D34412">
        <w:trPr>
          <w:trHeight w:val="48"/>
        </w:trPr>
        <w:tc>
          <w:tcPr>
            <w:tcW w:w="1667" w:type="pct"/>
            <w:vMerge w:val="restart"/>
          </w:tcPr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Назва секції</w:t>
            </w:r>
          </w:p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помітити кольором</w:t>
            </w:r>
            <w:r w:rsidRPr="009E4157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)</w:t>
            </w:r>
          </w:p>
        </w:tc>
        <w:tc>
          <w:tcPr>
            <w:tcW w:w="625" w:type="pct"/>
            <w:vAlign w:val="center"/>
          </w:tcPr>
          <w:p w:rsidR="00B013F8" w:rsidRPr="009E4157" w:rsidRDefault="00B013F8" w:rsidP="00D34412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Секція 1</w:t>
            </w:r>
          </w:p>
        </w:tc>
        <w:tc>
          <w:tcPr>
            <w:tcW w:w="2708" w:type="pct"/>
          </w:tcPr>
          <w:p w:rsidR="00B013F8" w:rsidRPr="001D49D9" w:rsidRDefault="00B013F8" w:rsidP="00D34412">
            <w:pPr>
              <w:rPr>
                <w:rFonts w:ascii="Times New Roman" w:hAnsi="Times New Roman" w:cs="Times New Roman"/>
                <w:lang w:val="uk-UA"/>
              </w:rPr>
            </w:pPr>
            <w:r w:rsidRPr="001D49D9">
              <w:rPr>
                <w:rFonts w:ascii="Times New Roman" w:hAnsi="Times New Roman" w:cs="Times New Roman"/>
                <w:lang w:val="uk-UA"/>
              </w:rPr>
              <w:t>Суднове електрообладнання, електронна апаратура та системи управління.</w:t>
            </w:r>
          </w:p>
        </w:tc>
      </w:tr>
      <w:tr w:rsidR="00B013F8" w:rsidRPr="00612565" w:rsidTr="00D34412">
        <w:trPr>
          <w:trHeight w:val="46"/>
        </w:trPr>
        <w:tc>
          <w:tcPr>
            <w:tcW w:w="1667" w:type="pct"/>
            <w:vMerge/>
          </w:tcPr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B013F8" w:rsidRPr="009E4157" w:rsidRDefault="00B013F8" w:rsidP="00D34412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Секція 2</w:t>
            </w:r>
          </w:p>
        </w:tc>
        <w:tc>
          <w:tcPr>
            <w:tcW w:w="2708" w:type="pct"/>
          </w:tcPr>
          <w:p w:rsidR="00B013F8" w:rsidRPr="001D49D9" w:rsidRDefault="00B013F8" w:rsidP="00D34412">
            <w:pPr>
              <w:rPr>
                <w:rFonts w:ascii="Times New Roman" w:hAnsi="Times New Roman" w:cs="Times New Roman"/>
                <w:lang w:val="uk-UA"/>
              </w:rPr>
            </w:pPr>
            <w:r w:rsidRPr="001D49D9">
              <w:rPr>
                <w:rFonts w:ascii="Times New Roman" w:hAnsi="Times New Roman" w:cs="Times New Roman"/>
                <w:lang w:val="uk-UA"/>
              </w:rPr>
              <w:t>Енергоефективність та  надійність  електромеханічних систем.</w:t>
            </w:r>
          </w:p>
        </w:tc>
      </w:tr>
      <w:tr w:rsidR="00B013F8" w:rsidRPr="00612565" w:rsidTr="00D34412">
        <w:trPr>
          <w:trHeight w:val="46"/>
        </w:trPr>
        <w:tc>
          <w:tcPr>
            <w:tcW w:w="1667" w:type="pct"/>
            <w:vMerge/>
          </w:tcPr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B013F8" w:rsidRPr="009E4157" w:rsidRDefault="00B013F8" w:rsidP="00D34412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Секція 3</w:t>
            </w:r>
          </w:p>
        </w:tc>
        <w:tc>
          <w:tcPr>
            <w:tcW w:w="2708" w:type="pct"/>
          </w:tcPr>
          <w:p w:rsidR="00B013F8" w:rsidRPr="001D49D9" w:rsidRDefault="00B013F8" w:rsidP="00D34412">
            <w:pPr>
              <w:ind w:right="28"/>
              <w:rPr>
                <w:rFonts w:ascii="Times New Roman" w:hAnsi="Times New Roman" w:cs="Times New Roman"/>
                <w:lang w:val="uk-UA"/>
              </w:rPr>
            </w:pPr>
            <w:r w:rsidRPr="001D49D9">
              <w:rPr>
                <w:rFonts w:ascii="Times New Roman" w:hAnsi="Times New Roman" w:cs="Times New Roman"/>
                <w:lang w:val="uk-UA"/>
              </w:rPr>
              <w:t xml:space="preserve">Електромагнітна сумісність та якість електричної енергії. </w:t>
            </w:r>
          </w:p>
        </w:tc>
      </w:tr>
      <w:tr w:rsidR="00B013F8" w:rsidRPr="00612565" w:rsidTr="00D34412">
        <w:trPr>
          <w:trHeight w:val="46"/>
        </w:trPr>
        <w:tc>
          <w:tcPr>
            <w:tcW w:w="1667" w:type="pct"/>
            <w:vMerge/>
          </w:tcPr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B013F8" w:rsidRPr="009E4157" w:rsidRDefault="00B013F8" w:rsidP="00D34412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Секція 4</w:t>
            </w:r>
          </w:p>
        </w:tc>
        <w:tc>
          <w:tcPr>
            <w:tcW w:w="2708" w:type="pct"/>
          </w:tcPr>
          <w:p w:rsidR="00B013F8" w:rsidRPr="001D49D9" w:rsidRDefault="00B013F8" w:rsidP="00D34412">
            <w:pPr>
              <w:rPr>
                <w:rFonts w:ascii="Times New Roman" w:hAnsi="Times New Roman" w:cs="Times New Roman"/>
                <w:lang w:val="uk-UA"/>
              </w:rPr>
            </w:pPr>
            <w:r w:rsidRPr="001D49D9">
              <w:rPr>
                <w:rFonts w:ascii="Times New Roman" w:hAnsi="Times New Roman" w:cs="Times New Roman"/>
                <w:lang w:val="uk-UA"/>
              </w:rPr>
              <w:t>Сучасні системи автоматизованого електроприводу, компоненти  та діагностика.</w:t>
            </w:r>
          </w:p>
        </w:tc>
      </w:tr>
      <w:tr w:rsidR="00B013F8" w:rsidRPr="00612565" w:rsidTr="00D34412">
        <w:trPr>
          <w:trHeight w:val="46"/>
        </w:trPr>
        <w:tc>
          <w:tcPr>
            <w:tcW w:w="1667" w:type="pct"/>
            <w:vMerge/>
          </w:tcPr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B013F8" w:rsidRPr="009E4157" w:rsidRDefault="00B013F8" w:rsidP="00D34412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Секція 5</w:t>
            </w:r>
          </w:p>
        </w:tc>
        <w:tc>
          <w:tcPr>
            <w:tcW w:w="2708" w:type="pct"/>
          </w:tcPr>
          <w:p w:rsidR="00B013F8" w:rsidRPr="001D49D9" w:rsidRDefault="00B013F8" w:rsidP="00D34412">
            <w:pPr>
              <w:rPr>
                <w:rFonts w:ascii="Times New Roman" w:hAnsi="Times New Roman" w:cs="Times New Roman"/>
                <w:lang w:val="uk-UA"/>
              </w:rPr>
            </w:pPr>
            <w:r w:rsidRPr="001D49D9">
              <w:rPr>
                <w:rFonts w:ascii="Times New Roman" w:hAnsi="Times New Roman" w:cs="Times New Roman"/>
                <w:lang w:val="uk-UA"/>
              </w:rPr>
              <w:t>Математичне моделювання процесів і явищ в елементах енергетичних установок.</w:t>
            </w:r>
          </w:p>
        </w:tc>
      </w:tr>
      <w:tr w:rsidR="00B013F8" w:rsidRPr="00612565" w:rsidTr="00D34412">
        <w:trPr>
          <w:trHeight w:val="46"/>
        </w:trPr>
        <w:tc>
          <w:tcPr>
            <w:tcW w:w="1667" w:type="pct"/>
            <w:vMerge/>
          </w:tcPr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B013F8" w:rsidRPr="009E4157" w:rsidRDefault="00B013F8" w:rsidP="00D34412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Секція 6</w:t>
            </w:r>
          </w:p>
        </w:tc>
        <w:tc>
          <w:tcPr>
            <w:tcW w:w="2708" w:type="pct"/>
          </w:tcPr>
          <w:p w:rsidR="00B013F8" w:rsidRPr="001D49D9" w:rsidRDefault="00B013F8" w:rsidP="00D34412">
            <w:pPr>
              <w:rPr>
                <w:rFonts w:ascii="Times New Roman" w:hAnsi="Times New Roman" w:cs="Times New Roman"/>
                <w:lang w:val="uk-UA"/>
              </w:rPr>
            </w:pPr>
            <w:r w:rsidRPr="001D49D9">
              <w:rPr>
                <w:rFonts w:ascii="Times New Roman" w:hAnsi="Times New Roman" w:cs="Times New Roman"/>
                <w:lang w:val="uk-UA"/>
              </w:rPr>
              <w:t>Радіотехніка, електроніка та інформаційна безпека.</w:t>
            </w:r>
          </w:p>
        </w:tc>
      </w:tr>
      <w:tr w:rsidR="00B013F8" w:rsidRPr="00612565" w:rsidTr="00D34412">
        <w:trPr>
          <w:trHeight w:val="46"/>
        </w:trPr>
        <w:tc>
          <w:tcPr>
            <w:tcW w:w="1667" w:type="pct"/>
            <w:vMerge/>
          </w:tcPr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B013F8" w:rsidRPr="009E4157" w:rsidRDefault="00B013F8" w:rsidP="00D34412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Секція 7</w:t>
            </w:r>
          </w:p>
        </w:tc>
        <w:tc>
          <w:tcPr>
            <w:tcW w:w="2708" w:type="pct"/>
          </w:tcPr>
          <w:p w:rsidR="00B013F8" w:rsidRPr="001D49D9" w:rsidRDefault="00B013F8" w:rsidP="00D34412">
            <w:pPr>
              <w:rPr>
                <w:rFonts w:ascii="Times New Roman" w:hAnsi="Times New Roman" w:cs="Times New Roman"/>
                <w:lang w:val="uk-UA"/>
              </w:rPr>
            </w:pPr>
            <w:r w:rsidRPr="001D49D9">
              <w:rPr>
                <w:rFonts w:ascii="Times New Roman" w:hAnsi="Times New Roman" w:cs="Times New Roman"/>
                <w:lang w:val="uk-UA"/>
              </w:rPr>
              <w:t>Моделювання процесів в електромеханічних системах.</w:t>
            </w:r>
          </w:p>
        </w:tc>
      </w:tr>
      <w:tr w:rsidR="00B013F8" w:rsidRPr="00612565" w:rsidTr="00D34412">
        <w:trPr>
          <w:trHeight w:val="46"/>
        </w:trPr>
        <w:tc>
          <w:tcPr>
            <w:tcW w:w="1667" w:type="pct"/>
            <w:vMerge/>
          </w:tcPr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B013F8" w:rsidRPr="009E4157" w:rsidRDefault="00B013F8" w:rsidP="00D34412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Секція 8</w:t>
            </w:r>
          </w:p>
        </w:tc>
        <w:tc>
          <w:tcPr>
            <w:tcW w:w="2708" w:type="pct"/>
          </w:tcPr>
          <w:p w:rsidR="00B013F8" w:rsidRPr="001D49D9" w:rsidRDefault="00B013F8" w:rsidP="00D34412">
            <w:pPr>
              <w:rPr>
                <w:rFonts w:ascii="Times New Roman" w:hAnsi="Times New Roman" w:cs="Times New Roman"/>
              </w:rPr>
            </w:pPr>
            <w:r w:rsidRPr="001D49D9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Автоматизація суднових технічних засобів.</w:t>
            </w:r>
          </w:p>
        </w:tc>
      </w:tr>
      <w:tr w:rsidR="00B013F8" w:rsidRPr="00612565" w:rsidTr="00D34412">
        <w:trPr>
          <w:trHeight w:val="46"/>
        </w:trPr>
        <w:tc>
          <w:tcPr>
            <w:tcW w:w="1667" w:type="pct"/>
            <w:vMerge/>
          </w:tcPr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B013F8" w:rsidRPr="009E4157" w:rsidRDefault="00B013F8" w:rsidP="00D34412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 xml:space="preserve">Секція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9</w:t>
            </w:r>
          </w:p>
        </w:tc>
        <w:tc>
          <w:tcPr>
            <w:tcW w:w="2708" w:type="pct"/>
          </w:tcPr>
          <w:p w:rsidR="00B013F8" w:rsidRPr="001D49D9" w:rsidRDefault="00B013F8" w:rsidP="00D34412">
            <w:pPr>
              <w:rPr>
                <w:rFonts w:ascii="Times New Roman" w:hAnsi="Times New Roman" w:cs="Times New Roman"/>
                <w:lang w:val="uk-UA"/>
              </w:rPr>
            </w:pPr>
            <w:r w:rsidRPr="001D49D9">
              <w:rPr>
                <w:rFonts w:ascii="Times New Roman" w:hAnsi="Times New Roman" w:cs="Times New Roman"/>
                <w:lang w:val="uk-UA"/>
              </w:rPr>
              <w:t>Експлуатація та ремонт засобів транспорту.</w:t>
            </w:r>
          </w:p>
        </w:tc>
      </w:tr>
      <w:tr w:rsidR="00B013F8" w:rsidRPr="00612565" w:rsidTr="00D34412">
        <w:trPr>
          <w:trHeight w:val="46"/>
        </w:trPr>
        <w:tc>
          <w:tcPr>
            <w:tcW w:w="1667" w:type="pct"/>
            <w:vMerge/>
          </w:tcPr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B013F8" w:rsidRPr="009E4157" w:rsidRDefault="00B013F8" w:rsidP="00D34412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 xml:space="preserve">Секція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10</w:t>
            </w:r>
          </w:p>
        </w:tc>
        <w:tc>
          <w:tcPr>
            <w:tcW w:w="2708" w:type="pct"/>
          </w:tcPr>
          <w:p w:rsidR="00B013F8" w:rsidRPr="001D49D9" w:rsidRDefault="00B013F8" w:rsidP="00D34412">
            <w:pPr>
              <w:rPr>
                <w:rFonts w:ascii="Times New Roman" w:hAnsi="Times New Roman" w:cs="Times New Roman"/>
                <w:lang w:val="uk-UA"/>
              </w:rPr>
            </w:pPr>
            <w:r w:rsidRPr="001D49D9">
              <w:rPr>
                <w:rFonts w:ascii="Times New Roman" w:hAnsi="Times New Roman" w:cs="Times New Roman"/>
                <w:lang w:val="uk-UA"/>
              </w:rPr>
              <w:t>Науково-технічні дослідження в умовах воєнного стану: пошуки, проблеми, перспективи розвитку.</w:t>
            </w:r>
          </w:p>
        </w:tc>
      </w:tr>
      <w:tr w:rsidR="00B013F8" w:rsidRPr="00612565" w:rsidTr="00D34412">
        <w:trPr>
          <w:trHeight w:val="46"/>
        </w:trPr>
        <w:tc>
          <w:tcPr>
            <w:tcW w:w="1667" w:type="pct"/>
            <w:vMerge/>
          </w:tcPr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B013F8" w:rsidRPr="009E4157" w:rsidRDefault="00B013F8" w:rsidP="00D34412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 xml:space="preserve">Секція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11</w:t>
            </w:r>
          </w:p>
        </w:tc>
        <w:tc>
          <w:tcPr>
            <w:tcW w:w="2708" w:type="pct"/>
          </w:tcPr>
          <w:p w:rsidR="00B013F8" w:rsidRPr="001D49D9" w:rsidRDefault="00B013F8" w:rsidP="00D34412">
            <w:pPr>
              <w:rPr>
                <w:rFonts w:ascii="Times New Roman" w:hAnsi="Times New Roman" w:cs="Times New Roman"/>
                <w:lang w:val="uk-UA"/>
              </w:rPr>
            </w:pPr>
            <w:r w:rsidRPr="001D49D9">
              <w:rPr>
                <w:rFonts w:ascii="Times New Roman" w:hAnsi="Times New Roman" w:cs="Times New Roman"/>
                <w:lang w:val="uk-UA"/>
              </w:rPr>
              <w:t>Менеджмент, логістика та транспортні технології</w:t>
            </w:r>
          </w:p>
        </w:tc>
      </w:tr>
      <w:tr w:rsidR="00B013F8" w:rsidRPr="00612565" w:rsidTr="00D34412">
        <w:trPr>
          <w:trHeight w:val="46"/>
        </w:trPr>
        <w:tc>
          <w:tcPr>
            <w:tcW w:w="1667" w:type="pct"/>
            <w:vMerge/>
          </w:tcPr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B013F8" w:rsidRPr="009E4157" w:rsidRDefault="00B013F8" w:rsidP="00D34412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 xml:space="preserve">Секція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12</w:t>
            </w:r>
          </w:p>
        </w:tc>
        <w:tc>
          <w:tcPr>
            <w:tcW w:w="2708" w:type="pct"/>
          </w:tcPr>
          <w:p w:rsidR="00B013F8" w:rsidRPr="001D49D9" w:rsidRDefault="00B013F8" w:rsidP="00D34412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1D49D9">
              <w:rPr>
                <w:rFonts w:ascii="Times New Roman" w:hAnsi="Times New Roman" w:cs="Times New Roman"/>
                <w:lang w:val="uk-UA"/>
              </w:rPr>
              <w:t>Безпека судноплавства</w:t>
            </w:r>
          </w:p>
        </w:tc>
      </w:tr>
      <w:tr w:rsidR="00B013F8" w:rsidRPr="00612565" w:rsidTr="00D34412">
        <w:trPr>
          <w:trHeight w:val="46"/>
        </w:trPr>
        <w:tc>
          <w:tcPr>
            <w:tcW w:w="1667" w:type="pct"/>
            <w:vMerge/>
          </w:tcPr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25" w:type="pct"/>
            <w:vAlign w:val="center"/>
          </w:tcPr>
          <w:p w:rsidR="00B013F8" w:rsidRPr="009E4157" w:rsidRDefault="00B013F8" w:rsidP="00D34412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 xml:space="preserve">Секція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13</w:t>
            </w:r>
          </w:p>
        </w:tc>
        <w:tc>
          <w:tcPr>
            <w:tcW w:w="2708" w:type="pct"/>
          </w:tcPr>
          <w:p w:rsidR="00B013F8" w:rsidRPr="001D49D9" w:rsidRDefault="00B013F8" w:rsidP="00D34412">
            <w:pPr>
              <w:rPr>
                <w:rFonts w:ascii="Times New Roman" w:hAnsi="Times New Roman" w:cs="Times New Roman"/>
                <w:lang w:val="uk-UA"/>
              </w:rPr>
            </w:pPr>
            <w:r w:rsidRPr="001D49D9">
              <w:rPr>
                <w:rFonts w:ascii="Times New Roman" w:hAnsi="Times New Roman" w:cs="Times New Roman"/>
                <w:lang w:val="uk-UA"/>
              </w:rPr>
              <w:t>Педагогіка та освіта.</w:t>
            </w:r>
          </w:p>
        </w:tc>
      </w:tr>
      <w:tr w:rsidR="00B013F8" w:rsidRPr="00B013F8" w:rsidTr="00D34412">
        <w:tc>
          <w:tcPr>
            <w:tcW w:w="1667" w:type="pct"/>
          </w:tcPr>
          <w:p w:rsidR="00B013F8" w:rsidRPr="001D49D9" w:rsidRDefault="00B013F8" w:rsidP="00D34412">
            <w:pPr>
              <w:ind w:right="-105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Назва</w:t>
            </w: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доповіді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, автори за зразком - </w:t>
            </w:r>
            <w:r w:rsidRPr="001D49D9">
              <w:rPr>
                <w:rFonts w:ascii="Times New Roman" w:hAnsi="Times New Roman" w:cs="Times New Roman"/>
                <w:lang w:val="uk-UA"/>
              </w:rPr>
              <w:t>Купр</w:t>
            </w:r>
            <w:r>
              <w:rPr>
                <w:rFonts w:ascii="Times New Roman" w:hAnsi="Times New Roman" w:cs="Times New Roman"/>
                <w:lang w:val="uk-UA"/>
              </w:rPr>
              <w:t>ін</w:t>
            </w:r>
            <w:r w:rsidRPr="001D49D9">
              <w:rPr>
                <w:rFonts w:ascii="Times New Roman" w:hAnsi="Times New Roman" w:cs="Times New Roman"/>
                <w:lang w:val="uk-UA"/>
              </w:rPr>
              <w:t xml:space="preserve"> В.І.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Петюк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Д.К. </w:t>
            </w:r>
            <w:r w:rsidRPr="001D49D9">
              <w:rPr>
                <w:rFonts w:ascii="Times New Roman" w:hAnsi="Times New Roman" w:cs="Times New Roman"/>
                <w:lang w:val="uk-UA"/>
              </w:rPr>
              <w:t xml:space="preserve"> ЙМОВІРНІСТЬ ВИЯВЛЕННЯ ЦІЛІ СУДНОВОЮ НАВІГАЦІЙНОЮ РЛС</w:t>
            </w:r>
          </w:p>
        </w:tc>
        <w:tc>
          <w:tcPr>
            <w:tcW w:w="3333" w:type="pct"/>
            <w:gridSpan w:val="2"/>
          </w:tcPr>
          <w:p w:rsidR="00B013F8" w:rsidRPr="009E4157" w:rsidRDefault="00B013F8" w:rsidP="00D344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B013F8" w:rsidRPr="00612565" w:rsidTr="00D34412">
        <w:tc>
          <w:tcPr>
            <w:tcW w:w="1667" w:type="pct"/>
          </w:tcPr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Мова публікації 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5A484B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proofErr w:type="spellStart"/>
            <w:r w:rsidRPr="005A484B">
              <w:rPr>
                <w:rFonts w:ascii="Times New Roman" w:eastAsia="Times New Roman" w:hAnsi="Times New Roman" w:cs="Times New Roman"/>
                <w:lang w:val="uk-UA"/>
              </w:rPr>
              <w:t>укр</w:t>
            </w:r>
            <w:proofErr w:type="spellEnd"/>
            <w:r w:rsidRPr="005A484B">
              <w:rPr>
                <w:rFonts w:ascii="Times New Roman" w:eastAsia="Times New Roman" w:hAnsi="Times New Roman" w:cs="Times New Roman"/>
                <w:lang w:val="uk-UA"/>
              </w:rPr>
              <w:t>. /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5A484B">
              <w:rPr>
                <w:rFonts w:ascii="Times New Roman" w:eastAsia="Times New Roman" w:hAnsi="Times New Roman" w:cs="Times New Roman"/>
                <w:lang w:val="uk-UA"/>
              </w:rPr>
              <w:t>англ</w:t>
            </w:r>
            <w:proofErr w:type="spellEnd"/>
            <w:r w:rsidRPr="005A484B">
              <w:rPr>
                <w:rFonts w:ascii="Times New Roman" w:eastAsia="Times New Roman" w:hAnsi="Times New Roman" w:cs="Times New Roman"/>
                <w:lang w:val="uk-UA"/>
              </w:rPr>
              <w:t>.)</w:t>
            </w:r>
          </w:p>
        </w:tc>
        <w:tc>
          <w:tcPr>
            <w:tcW w:w="3333" w:type="pct"/>
            <w:gridSpan w:val="2"/>
          </w:tcPr>
          <w:p w:rsidR="00B013F8" w:rsidRPr="009E4157" w:rsidRDefault="00B013F8" w:rsidP="00D344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B013F8" w:rsidRPr="00612565" w:rsidTr="00D34412">
        <w:tc>
          <w:tcPr>
            <w:tcW w:w="1667" w:type="pct"/>
          </w:tcPr>
          <w:p w:rsidR="00B013F8" w:rsidRPr="001D49D9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D49D9">
              <w:rPr>
                <w:rFonts w:ascii="Times New Roman" w:eastAsia="Times New Roman" w:hAnsi="Times New Roman" w:cs="Times New Roman"/>
                <w:b/>
                <w:lang w:val="uk-UA"/>
              </w:rPr>
              <w:t>Згода автора на використання</w:t>
            </w:r>
          </w:p>
          <w:p w:rsidR="00B013F8" w:rsidRPr="001D49D9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D49D9">
              <w:rPr>
                <w:rFonts w:ascii="Times New Roman" w:eastAsia="Times New Roman" w:hAnsi="Times New Roman" w:cs="Times New Roman"/>
                <w:b/>
                <w:lang w:val="uk-UA"/>
              </w:rPr>
              <w:t>опублікованих матеріалів</w:t>
            </w:r>
          </w:p>
          <w:p w:rsidR="00B013F8" w:rsidRPr="009E4157" w:rsidRDefault="00B013F8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D49D9">
              <w:rPr>
                <w:rFonts w:ascii="Times New Roman" w:eastAsia="Times New Roman" w:hAnsi="Times New Roman" w:cs="Times New Roman"/>
                <w:b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1D49D9">
              <w:rPr>
                <w:rFonts w:ascii="Times New Roman" w:eastAsia="Times New Roman" w:hAnsi="Times New Roman" w:cs="Times New Roman"/>
                <w:b/>
                <w:lang w:val="uk-UA"/>
              </w:rPr>
              <w:t>відкритому доступі мережі Інтернет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та розміщенні в репозиторії  НУОМА </w:t>
            </w:r>
            <w:r w:rsidRPr="00547EAE">
              <w:rPr>
                <w:rFonts w:ascii="Times New Roman" w:eastAsia="Times New Roman" w:hAnsi="Times New Roman" w:cs="Times New Roman"/>
                <w:lang w:val="uk-UA"/>
              </w:rPr>
              <w:t>(потрібно зазначити «згоден»)</w:t>
            </w:r>
          </w:p>
        </w:tc>
        <w:tc>
          <w:tcPr>
            <w:tcW w:w="3333" w:type="pct"/>
            <w:gridSpan w:val="2"/>
          </w:tcPr>
          <w:p w:rsidR="00B013F8" w:rsidRPr="009E4157" w:rsidRDefault="00B013F8" w:rsidP="00D344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</w:tbl>
    <w:p w:rsidR="00B013F8" w:rsidRDefault="00B013F8" w:rsidP="00B013F8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13F8" w:rsidRDefault="00B013F8" w:rsidP="00B013F8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13F8" w:rsidRDefault="00B013F8" w:rsidP="00B013F8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2946">
        <w:rPr>
          <w:rFonts w:ascii="Times New Roman" w:eastAsia="Times New Roman" w:hAnsi="Times New Roman" w:cs="Times New Roman"/>
          <w:sz w:val="28"/>
          <w:szCs w:val="28"/>
          <w:lang w:val="uk-UA"/>
        </w:rPr>
        <w:t>Заповнену заявку, електронну версію тез доповідей надсилати за адрес</w:t>
      </w:r>
      <w:r w:rsidRPr="00D529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2946">
        <w:rPr>
          <w:rFonts w:ascii="Times New Roman" w:eastAsia="Times New Roman" w:hAnsi="Times New Roman" w:cs="Times New Roman"/>
          <w:sz w:val="28"/>
          <w:szCs w:val="28"/>
          <w:lang w:val="uk-UA"/>
        </w:rPr>
        <w:t>ю:</w:t>
      </w:r>
    </w:p>
    <w:p w:rsidR="00B013F8" w:rsidRPr="00D52946" w:rsidRDefault="00B013F8" w:rsidP="00B013F8">
      <w:pPr>
        <w:spacing w:after="0" w:line="288" w:lineRule="auto"/>
        <w:jc w:val="center"/>
        <w:rPr>
          <w:rFonts w:asciiTheme="minorHAnsi" w:eastAsiaTheme="minorHAnsi" w:hAnsiTheme="minorHAnsi" w:cstheme="minorBidi"/>
          <w:color w:val="auto"/>
          <w:sz w:val="28"/>
          <w:szCs w:val="28"/>
        </w:rPr>
      </w:pPr>
      <w:proofErr w:type="spellStart"/>
      <w:r w:rsidRPr="00D52946">
        <w:rPr>
          <w:rFonts w:ascii="Times New Roman" w:hAnsi="Times New Roman"/>
          <w:b/>
          <w:color w:val="2F5496" w:themeColor="accent1" w:themeShade="BF"/>
          <w:sz w:val="28"/>
          <w:szCs w:val="28"/>
          <w:u w:val="single"/>
          <w:lang w:val="en-US"/>
        </w:rPr>
        <w:t>seea</w:t>
      </w:r>
      <w:proofErr w:type="spellEnd"/>
      <w:r w:rsidRPr="00D52946">
        <w:rPr>
          <w:rFonts w:ascii="Times New Roman" w:hAnsi="Times New Roman"/>
          <w:b/>
          <w:color w:val="2F5496" w:themeColor="accent1" w:themeShade="BF"/>
          <w:sz w:val="28"/>
          <w:szCs w:val="28"/>
          <w:u w:val="single"/>
          <w:lang w:val="uk-UA"/>
        </w:rPr>
        <w:t>-</w:t>
      </w:r>
      <w:proofErr w:type="spellStart"/>
      <w:r w:rsidRPr="00D52946">
        <w:rPr>
          <w:rFonts w:ascii="Times New Roman" w:hAnsi="Times New Roman"/>
          <w:b/>
          <w:color w:val="2F5496" w:themeColor="accent1" w:themeShade="BF"/>
          <w:sz w:val="28"/>
          <w:szCs w:val="28"/>
          <w:u w:val="single"/>
          <w:lang w:val="en-US"/>
        </w:rPr>
        <w:t>femire</w:t>
      </w:r>
      <w:proofErr w:type="spellEnd"/>
      <w:r w:rsidRPr="00D52946">
        <w:rPr>
          <w:rFonts w:ascii="Times New Roman" w:hAnsi="Times New Roman"/>
          <w:b/>
          <w:color w:val="2F5496" w:themeColor="accent1" w:themeShade="BF"/>
          <w:sz w:val="28"/>
          <w:szCs w:val="28"/>
          <w:u w:val="single"/>
        </w:rPr>
        <w:t>@</w:t>
      </w:r>
      <w:proofErr w:type="spellStart"/>
      <w:r w:rsidRPr="00D52946">
        <w:rPr>
          <w:rFonts w:ascii="Times New Roman" w:hAnsi="Times New Roman"/>
          <w:b/>
          <w:color w:val="2F5496" w:themeColor="accent1" w:themeShade="BF"/>
          <w:sz w:val="28"/>
          <w:szCs w:val="28"/>
          <w:u w:val="single"/>
          <w:lang w:val="en-US"/>
        </w:rPr>
        <w:t>onma</w:t>
      </w:r>
      <w:proofErr w:type="spellEnd"/>
      <w:r w:rsidRPr="00D52946">
        <w:rPr>
          <w:rFonts w:ascii="Times New Roman" w:hAnsi="Times New Roman"/>
          <w:b/>
          <w:color w:val="2F5496" w:themeColor="accent1" w:themeShade="BF"/>
          <w:sz w:val="28"/>
          <w:szCs w:val="28"/>
          <w:u w:val="single"/>
        </w:rPr>
        <w:t>.</w:t>
      </w:r>
      <w:proofErr w:type="spellStart"/>
      <w:r w:rsidRPr="00D52946">
        <w:rPr>
          <w:rFonts w:ascii="Times New Roman" w:hAnsi="Times New Roman"/>
          <w:b/>
          <w:color w:val="2F5496" w:themeColor="accent1" w:themeShade="BF"/>
          <w:sz w:val="28"/>
          <w:szCs w:val="28"/>
          <w:u w:val="single"/>
          <w:lang w:val="en-US"/>
        </w:rPr>
        <w:t>edu</w:t>
      </w:r>
      <w:proofErr w:type="spellEnd"/>
      <w:r w:rsidRPr="00D52946">
        <w:rPr>
          <w:rFonts w:ascii="Times New Roman" w:hAnsi="Times New Roman"/>
          <w:b/>
          <w:color w:val="2F5496" w:themeColor="accent1" w:themeShade="BF"/>
          <w:sz w:val="28"/>
          <w:szCs w:val="28"/>
          <w:u w:val="single"/>
        </w:rPr>
        <w:t>.</w:t>
      </w:r>
      <w:proofErr w:type="spellStart"/>
      <w:r w:rsidRPr="00D52946">
        <w:rPr>
          <w:rFonts w:ascii="Times New Roman" w:hAnsi="Times New Roman"/>
          <w:b/>
          <w:color w:val="2F5496" w:themeColor="accent1" w:themeShade="BF"/>
          <w:sz w:val="28"/>
          <w:szCs w:val="28"/>
          <w:u w:val="single"/>
          <w:lang w:val="en-US"/>
        </w:rPr>
        <w:t>ua</w:t>
      </w:r>
      <w:proofErr w:type="spellEnd"/>
    </w:p>
    <w:p w:rsidR="00B013F8" w:rsidRDefault="00B013F8" w:rsidP="00B013F8">
      <w:pPr>
        <w:spacing w:after="102"/>
        <w:ind w:left="106"/>
        <w:jc w:val="center"/>
        <w:rPr>
          <w:lang w:val="uk-UA"/>
        </w:rPr>
      </w:pPr>
    </w:p>
    <w:p w:rsidR="00133F1C" w:rsidRDefault="00133F1C">
      <w:bookmarkStart w:id="0" w:name="_GoBack"/>
      <w:bookmarkEnd w:id="0"/>
    </w:p>
    <w:sectPr w:rsidR="00133F1C" w:rsidSect="00E14A45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F8"/>
    <w:rsid w:val="00133F1C"/>
    <w:rsid w:val="00B0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5DEDE-46E2-40EA-B7C2-4F6CB576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3F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3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Глазєва</dc:creator>
  <cp:keywords/>
  <dc:description/>
  <cp:lastModifiedBy>Оксана Глазєва</cp:lastModifiedBy>
  <cp:revision>1</cp:revision>
  <dcterms:created xsi:type="dcterms:W3CDTF">2025-09-28T13:27:00Z</dcterms:created>
  <dcterms:modified xsi:type="dcterms:W3CDTF">2025-09-28T13:28:00Z</dcterms:modified>
</cp:coreProperties>
</file>